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560" w:lineRule="exact"/>
        <w:jc w:val="both"/>
        <w:outlineLvl w:val="0"/>
        <w:rPr>
          <w:rFonts w:hint="default" w:ascii="Times New Roman" w:hAnsi="Times New Roman" w:eastAsia="方正仿宋_GBK" w:cs="Times New Roman"/>
          <w:bCs/>
          <w:sz w:val="32"/>
          <w:szCs w:val="32"/>
          <w:lang w:val="en-US" w:eastAsia="zh-CN"/>
          <w14:ligatures w14:val="none"/>
        </w:rPr>
      </w:pPr>
      <w:r>
        <w:rPr>
          <w:rFonts w:hint="default" w:ascii="Times New Roman" w:hAnsi="Times New Roman" w:eastAsia="方正仿宋_GBK" w:cs="Times New Roman"/>
          <w:bCs/>
          <w:sz w:val="32"/>
          <w:szCs w:val="32"/>
          <w:lang w:val="en-US" w:eastAsia="zh-CN"/>
          <w14:ligatures w14:val="none"/>
        </w:rPr>
        <w:t>附件1</w:t>
      </w:r>
    </w:p>
    <w:p>
      <w:pPr>
        <w:numPr>
          <w:ilvl w:val="0"/>
          <w:numId w:val="0"/>
        </w:numPr>
        <w:spacing w:line="560" w:lineRule="exact"/>
        <w:ind w:firstLine="0" w:firstLineChars="0"/>
        <w:jc w:val="center"/>
        <w:outlineLvl w:val="0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BYD催化剂长周期运行技术研发攻关</w:t>
      </w: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项目</w:t>
      </w:r>
    </w:p>
    <w:tbl>
      <w:tblPr>
        <w:tblStyle w:val="6"/>
        <w:tblW w:w="85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1606"/>
        <w:gridCol w:w="1467"/>
        <w:gridCol w:w="499"/>
        <w:gridCol w:w="1237"/>
        <w:gridCol w:w="155"/>
        <w:gridCol w:w="2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85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发榜</w:t>
            </w: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方基本</w:t>
            </w: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3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57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重庆建峰新材料有限责任公司弛源化工分公司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5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单位地址</w:t>
            </w:r>
          </w:p>
        </w:tc>
        <w:tc>
          <w:tcPr>
            <w:tcW w:w="2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重庆涪陵区白涛化工园区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jc w:val="center"/>
        </w:trPr>
        <w:tc>
          <w:tcPr>
            <w:tcW w:w="13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57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黄志勇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2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57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副经理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57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15215004177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15215004177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@139.com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jc w:val="center"/>
        </w:trPr>
        <w:tc>
          <w:tcPr>
            <w:tcW w:w="85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研发</w:t>
            </w: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发榜</w:t>
            </w: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研发金额</w:t>
            </w:r>
          </w:p>
        </w:tc>
        <w:tc>
          <w:tcPr>
            <w:tcW w:w="3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见发榜方案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实施周期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产权归属</w:t>
            </w:r>
          </w:p>
        </w:tc>
        <w:tc>
          <w:tcPr>
            <w:tcW w:w="3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成果完全归建峰新材料有限责任公司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奖励方式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一次性成果奖励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6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技术攻关主要内容</w:t>
            </w: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及考核指标</w:t>
            </w:r>
          </w:p>
        </w:tc>
        <w:tc>
          <w:tcPr>
            <w:tcW w:w="72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both"/>
              <w:textAlignment w:val="auto"/>
              <w:outlineLvl w:val="0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1. 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解决BYD反应器滤布与催化剂匹配问题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both"/>
              <w:textAlignment w:val="auto"/>
              <w:outlineLvl w:val="0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2. 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解决滤布大量破损问题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both"/>
              <w:textAlignment w:val="auto"/>
              <w:outlineLvl w:val="0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3. 达到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如下运行及技术目标（不便公布目标由项目任务书约定）：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both"/>
              <w:textAlignment w:val="auto"/>
              <w:outlineLvl w:val="0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（1）单个BYD催化剂周期BDO特征产量达到2.5万吨；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both"/>
              <w:textAlignment w:val="auto"/>
              <w:outlineLvl w:val="0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（2）每个考核周期装置平均负荷≥110%；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both"/>
              <w:textAlignment w:val="auto"/>
              <w:outlineLvl w:val="0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（3）实施周期内必须有2个周期完成上述产量。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2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揭榜方要求</w:t>
            </w:r>
          </w:p>
        </w:tc>
        <w:tc>
          <w:tcPr>
            <w:tcW w:w="72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2" w:firstLineChars="20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揭榜方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可为企业技术（工程）中心、实验室、工程室、工作室或车间、班组等研发或工程技术团队，企业员工自发组建的团队；具有较强研发及工程技术能力的个人。其中，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应具备良好身体素质，较强的科研组织能力；中级以上技术职称；拥有BDO装置工程技术研究开发及设备运行管理经验；熟悉BYD催化剂专业技术知识，开展过BYD催化剂优化技术研究。</w:t>
            </w:r>
          </w:p>
        </w:tc>
      </w:tr>
    </w:tbl>
    <w:p>
      <w:pPr>
        <w:numPr>
          <w:ilvl w:val="0"/>
          <w:numId w:val="0"/>
        </w:numPr>
        <w:spacing w:line="560" w:lineRule="exact"/>
        <w:ind w:firstLine="1920" w:firstLineChars="600"/>
        <w:jc w:val="left"/>
        <w:outlineLvl w:val="0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spacing w:line="560" w:lineRule="exact"/>
        <w:ind w:firstLine="1920" w:firstLineChars="600"/>
        <w:jc w:val="left"/>
        <w:outlineLvl w:val="0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spacing w:line="560" w:lineRule="exact"/>
        <w:ind w:firstLine="1920" w:firstLineChars="600"/>
        <w:jc w:val="left"/>
        <w:outlineLvl w:val="0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spacing w:line="560" w:lineRule="exact"/>
        <w:ind w:firstLine="1920" w:firstLineChars="600"/>
        <w:jc w:val="left"/>
        <w:outlineLvl w:val="0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spacing w:line="560" w:lineRule="exact"/>
        <w:ind w:firstLine="1920" w:firstLineChars="600"/>
        <w:jc w:val="left"/>
        <w:outlineLvl w:val="0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spacing w:line="560" w:lineRule="exact"/>
        <w:ind w:firstLine="1920" w:firstLineChars="600"/>
        <w:jc w:val="left"/>
        <w:outlineLvl w:val="0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spacing w:line="560" w:lineRule="exact"/>
        <w:ind w:firstLine="1920" w:firstLineChars="600"/>
        <w:jc w:val="left"/>
        <w:outlineLvl w:val="0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spacing w:line="560" w:lineRule="exact"/>
        <w:ind w:firstLine="1920" w:firstLineChars="600"/>
        <w:jc w:val="left"/>
        <w:outlineLvl w:val="0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spacing w:line="560" w:lineRule="exact"/>
        <w:ind w:firstLine="0" w:firstLineChars="0"/>
        <w:jc w:val="center"/>
        <w:outlineLvl w:val="0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2.SX2401光伏边框涂料开发项目</w:t>
      </w:r>
    </w:p>
    <w:tbl>
      <w:tblPr>
        <w:tblStyle w:val="6"/>
        <w:tblW w:w="85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1606"/>
        <w:gridCol w:w="1467"/>
        <w:gridCol w:w="499"/>
        <w:gridCol w:w="1237"/>
        <w:gridCol w:w="155"/>
        <w:gridCol w:w="2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85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发榜</w:t>
            </w: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方基本</w:t>
            </w: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3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57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重庆三峡油漆股份有限公司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5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单位地址</w:t>
            </w:r>
          </w:p>
        </w:tc>
        <w:tc>
          <w:tcPr>
            <w:tcW w:w="2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57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江津区德感工业园区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3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57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钟世盛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2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57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3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57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15215004177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15215004177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@139.com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85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研发</w:t>
            </w: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发榜</w:t>
            </w: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研发金额</w:t>
            </w:r>
          </w:p>
        </w:tc>
        <w:tc>
          <w:tcPr>
            <w:tcW w:w="3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见发榜方案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实施周期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产权归属</w:t>
            </w:r>
          </w:p>
        </w:tc>
        <w:tc>
          <w:tcPr>
            <w:tcW w:w="3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成果完全归重庆三峡油漆股份有限公司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奖励方法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项目分红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技术攻关主要内容</w:t>
            </w: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及考核指标</w:t>
            </w:r>
          </w:p>
        </w:tc>
        <w:tc>
          <w:tcPr>
            <w:tcW w:w="72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开发出低VOC排放，对施工人员及环境的危害小；具有优异耐候性能和基材附着力，显著增长光伏边框防护年限的复合材料光伏边框涂料。产品通过TÜV南德认证。在复合材料基材上具有良好的附着力及高耐候性。</w:t>
            </w:r>
          </w:p>
          <w:tbl>
            <w:tblPr>
              <w:tblStyle w:val="6"/>
              <w:tblpPr w:leftFromText="180" w:rightFromText="180" w:vertAnchor="text" w:horzAnchor="margin" w:tblpXSpec="center" w:tblpY="207"/>
              <w:tblW w:w="5000" w:type="pct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828"/>
              <w:gridCol w:w="3137"/>
              <w:gridCol w:w="122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4" w:hRule="atLeast"/>
              </w:trPr>
              <w:tc>
                <w:tcPr>
                  <w:tcW w:w="1967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20" w:lineRule="exact"/>
                    <w:textAlignment w:val="auto"/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性能项目</w:t>
                  </w:r>
                </w:p>
              </w:tc>
              <w:tc>
                <w:tcPr>
                  <w:tcW w:w="2182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20" w:lineRule="exact"/>
                    <w:textAlignment w:val="auto"/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技术要求</w:t>
                  </w:r>
                </w:p>
              </w:tc>
              <w:tc>
                <w:tcPr>
                  <w:tcW w:w="850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20" w:lineRule="exact"/>
                    <w:textAlignment w:val="auto"/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检验依据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1967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20" w:lineRule="exact"/>
                    <w:textAlignment w:val="auto"/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划格实验/级</w:t>
                  </w:r>
                </w:p>
              </w:tc>
              <w:tc>
                <w:tcPr>
                  <w:tcW w:w="2182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20" w:lineRule="exact"/>
                    <w:textAlignment w:val="auto"/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≤1</w:t>
                  </w:r>
                </w:p>
              </w:tc>
              <w:tc>
                <w:tcPr>
                  <w:tcW w:w="850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20" w:lineRule="exact"/>
                    <w:textAlignment w:val="auto"/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GB/T 9286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4" w:hRule="atLeast"/>
              </w:trPr>
              <w:tc>
                <w:tcPr>
                  <w:tcW w:w="1967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20" w:lineRule="exact"/>
                    <w:textAlignment w:val="auto"/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铅笔硬度</w:t>
                  </w:r>
                </w:p>
              </w:tc>
              <w:tc>
                <w:tcPr>
                  <w:tcW w:w="2182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20" w:lineRule="exact"/>
                    <w:textAlignment w:val="auto"/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≥H</w:t>
                  </w:r>
                </w:p>
              </w:tc>
              <w:tc>
                <w:tcPr>
                  <w:tcW w:w="850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20" w:lineRule="exact"/>
                    <w:textAlignment w:val="auto"/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GB/T 6739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4" w:hRule="atLeast"/>
              </w:trPr>
              <w:tc>
                <w:tcPr>
                  <w:tcW w:w="1967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20" w:lineRule="exact"/>
                    <w:textAlignment w:val="auto"/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耐水煮性（80℃耐水煮 8h）</w:t>
                  </w:r>
                </w:p>
              </w:tc>
              <w:tc>
                <w:tcPr>
                  <w:tcW w:w="2182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20" w:lineRule="exact"/>
                    <w:textAlignment w:val="auto"/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无明显脱落，剥离附着力0级</w:t>
                  </w:r>
                </w:p>
              </w:tc>
              <w:tc>
                <w:tcPr>
                  <w:tcW w:w="850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20" w:lineRule="exact"/>
                    <w:textAlignment w:val="auto"/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4" w:hRule="atLeast"/>
              </w:trPr>
              <w:tc>
                <w:tcPr>
                  <w:tcW w:w="1967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20" w:lineRule="exact"/>
                    <w:textAlignment w:val="auto"/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氙灯老化（4000h）</w:t>
                  </w:r>
                </w:p>
              </w:tc>
              <w:tc>
                <w:tcPr>
                  <w:tcW w:w="2182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20" w:lineRule="exact"/>
                    <w:textAlignment w:val="auto"/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无明显粉化，变色不大于2级</w:t>
                  </w:r>
                </w:p>
              </w:tc>
              <w:tc>
                <w:tcPr>
                  <w:tcW w:w="850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20" w:lineRule="exact"/>
                    <w:textAlignment w:val="auto"/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GB/T 1865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</w:trPr>
              <w:tc>
                <w:tcPr>
                  <w:tcW w:w="1967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20" w:lineRule="exact"/>
                    <w:textAlignment w:val="auto"/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耐乙醇擦拭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20" w:lineRule="exact"/>
                    <w:textAlignment w:val="auto"/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95%乙醇，棉纱布擦拭50次</w:t>
                  </w:r>
                </w:p>
              </w:tc>
              <w:tc>
                <w:tcPr>
                  <w:tcW w:w="2182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20" w:lineRule="exact"/>
                    <w:textAlignment w:val="auto"/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测试面无油漆脱落，无明显褪色</w:t>
                  </w:r>
                </w:p>
              </w:tc>
              <w:tc>
                <w:tcPr>
                  <w:tcW w:w="850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20" w:lineRule="exact"/>
                    <w:textAlignment w:val="auto"/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GB/T23989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</w:trPr>
              <w:tc>
                <w:tcPr>
                  <w:tcW w:w="5000" w:type="pct"/>
                  <w:gridSpan w:val="3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20" w:lineRule="exact"/>
                    <w:textAlignment w:val="auto"/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备注：以上性能测试均在复合材料基材上进行，膜厚40±5μm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0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2" w:hRule="atLeast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揭榜方要求</w:t>
            </w:r>
          </w:p>
        </w:tc>
        <w:tc>
          <w:tcPr>
            <w:tcW w:w="72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2" w:firstLineChars="20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揭榜方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可为化医集团三方企业为主体或以各类创新平台、创新联合体、“三室”、不同企业自由组建的创新团队。本企业技术（工程）中心、实验室、工作室或车间、班组等研发团队，员工自发组建的技术攻关团队；集团或本企业具有较强研发能力的个人。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应具备良好身体素质，较好的科研组织能力；中级以上技术职称；拥有一定的工程技术研究开发经验；熟悉涂料开发专业技术知识。</w:t>
            </w:r>
          </w:p>
        </w:tc>
      </w:tr>
    </w:tbl>
    <w:p>
      <w:pP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>
      <w:pPr>
        <w:numPr>
          <w:ilvl w:val="0"/>
          <w:numId w:val="0"/>
        </w:numPr>
        <w:spacing w:line="560" w:lineRule="exact"/>
        <w:jc w:val="center"/>
        <w:outlineLvl w:val="0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3.无醛低温固化氨基树脂新产品开发及产业化项目</w:t>
      </w:r>
    </w:p>
    <w:tbl>
      <w:tblPr>
        <w:tblStyle w:val="6"/>
        <w:tblW w:w="85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1606"/>
        <w:gridCol w:w="1467"/>
        <w:gridCol w:w="499"/>
        <w:gridCol w:w="1237"/>
        <w:gridCol w:w="155"/>
        <w:gridCol w:w="2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85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发榜</w:t>
            </w: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方基本</w:t>
            </w: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3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重庆建峰浩康化工有限公司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5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单位地址</w:t>
            </w:r>
          </w:p>
        </w:tc>
        <w:tc>
          <w:tcPr>
            <w:tcW w:w="2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涪陵白涛化工园区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jc w:val="center"/>
        </w:trPr>
        <w:tc>
          <w:tcPr>
            <w:tcW w:w="13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钟力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2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质量技术部部长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13452517663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496528506@qq.com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jc w:val="center"/>
        </w:trPr>
        <w:tc>
          <w:tcPr>
            <w:tcW w:w="85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研发</w:t>
            </w: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发榜</w:t>
            </w: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研发金额</w:t>
            </w:r>
          </w:p>
        </w:tc>
        <w:tc>
          <w:tcPr>
            <w:tcW w:w="3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见发榜方案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实施周期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产权归属</w:t>
            </w:r>
          </w:p>
        </w:tc>
        <w:tc>
          <w:tcPr>
            <w:tcW w:w="3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成果完全归重庆建峰浩康化工有限公司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奖励方法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项目分红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1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技术攻关主要内容</w:t>
            </w: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及考核指标</w:t>
            </w:r>
          </w:p>
        </w:tc>
        <w:tc>
          <w:tcPr>
            <w:tcW w:w="72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both"/>
              <w:textAlignment w:val="auto"/>
              <w:outlineLvl w:val="0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拟通过筛选三羟甲基三聚氰胺和甲醇醚化反应催化剂，提升缩聚反应程度；筛序合适甲醛捕捉剂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产品游离甲醛含量低于100ppm，应用于纺织涂布领域释放甲醛含量低于20ppm，搭配合适的主体树脂能实现80-110℃固化反应。。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2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揭榜方要求</w:t>
            </w:r>
          </w:p>
        </w:tc>
        <w:tc>
          <w:tcPr>
            <w:tcW w:w="72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2" w:firstLineChars="20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揭榜方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可为本企业技术（工程）中心、实验室、工作室或车间、班组等研发团队，员工自发组建的技术攻关团队；本企业具有较强研发能力的个人。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应具备良好身体素质，较好的科研组织能力；中级以上技术职称；拥有一定的工程技术研究开发经验；熟悉涂料开发专业技术知识。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0"/>
        <w:rPr>
          <w:rFonts w:hint="default" w:ascii="Times New Roman" w:hAnsi="Times New Roman" w:eastAsia="仿宋" w:cs="Times New Roman"/>
          <w:color w:val="000000" w:themeColor="text1"/>
          <w:sz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br w:type="page"/>
      </w: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4.水合肼废盐综合利用技术攻关项目</w:t>
      </w:r>
    </w:p>
    <w:tbl>
      <w:tblPr>
        <w:tblStyle w:val="6"/>
        <w:tblW w:w="85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1606"/>
        <w:gridCol w:w="1467"/>
        <w:gridCol w:w="499"/>
        <w:gridCol w:w="1237"/>
        <w:gridCol w:w="155"/>
        <w:gridCol w:w="2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85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发榜</w:t>
            </w: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方基本</w:t>
            </w: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3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重庆天原化工有限公司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5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单位地址</w:t>
            </w:r>
          </w:p>
        </w:tc>
        <w:tc>
          <w:tcPr>
            <w:tcW w:w="2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涪陵白涛化工园区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8" w:hRule="atLeast"/>
          <w:jc w:val="center"/>
        </w:trPr>
        <w:tc>
          <w:tcPr>
            <w:tcW w:w="13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刘峰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2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副主任工程师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17723140948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304575876@qq.com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jc w:val="center"/>
        </w:trPr>
        <w:tc>
          <w:tcPr>
            <w:tcW w:w="85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研发</w:t>
            </w: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发榜</w:t>
            </w: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研发金额</w:t>
            </w:r>
          </w:p>
        </w:tc>
        <w:tc>
          <w:tcPr>
            <w:tcW w:w="3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见发榜方案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实施周期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产权归属</w:t>
            </w:r>
          </w:p>
        </w:tc>
        <w:tc>
          <w:tcPr>
            <w:tcW w:w="3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成果完全归重庆天原化工有限公司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奖励方法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一次性成果奖励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1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技术攻关主要内容</w:t>
            </w: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及考核指标</w:t>
            </w:r>
          </w:p>
        </w:tc>
        <w:tc>
          <w:tcPr>
            <w:tcW w:w="72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both"/>
              <w:textAlignment w:val="auto"/>
              <w:outlineLvl w:val="0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（1）对现有技术进行优化和创新，实现回用盐水TOC低于10 mg/L，总铵降至2 mg/L以下；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both"/>
              <w:textAlignment w:val="auto"/>
              <w:outlineLvl w:val="0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（2）废盐回收一次利用率大于90 %，处理成本低于240元/吨；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both"/>
              <w:textAlignment w:val="auto"/>
              <w:outlineLvl w:val="0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（3）废盐水处理后，杂质含量满足离子膜电解指标要求。</w:t>
            </w:r>
          </w:p>
          <w:tbl>
            <w:tblPr>
              <w:tblStyle w:val="6"/>
              <w:tblW w:w="4998" w:type="pct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shd w:val="clear" w:color="auto" w:fill="auto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305"/>
              <w:gridCol w:w="1637"/>
              <w:gridCol w:w="2616"/>
              <w:gridCol w:w="162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908" w:type="pct"/>
                  <w:tcBorders>
                    <w:tl2br w:val="nil"/>
                  </w:tcBorders>
                  <w:shd w:val="clear" w:color="auto" w:fill="FFFFFF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5"/>
                    <w:keepNext w:val="0"/>
                    <w:keepLines w:val="0"/>
                    <w:pageBreakBefore w:val="0"/>
                    <w:widowControl/>
                    <w:suppressLineNumbers w:val="0"/>
                    <w:suppressAutoHyphens w:val="0"/>
                    <w:ind w:left="0" w:leftChars="0" w:right="0" w:rightChars="0" w:firstLine="0" w:firstLineChars="0"/>
                    <w:jc w:val="center"/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  <w:t>名称</w:t>
                  </w:r>
                </w:p>
              </w:tc>
              <w:tc>
                <w:tcPr>
                  <w:tcW w:w="1139" w:type="pct"/>
                  <w:shd w:val="clear" w:color="auto" w:fill="FFFFFF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5"/>
                    <w:keepNext w:val="0"/>
                    <w:keepLines w:val="0"/>
                    <w:pageBreakBefore w:val="0"/>
                    <w:widowControl/>
                    <w:suppressLineNumbers w:val="0"/>
                    <w:suppressAutoHyphens w:val="0"/>
                    <w:ind w:left="0" w:leftChars="0" w:right="0" w:rightChars="0" w:firstLine="0" w:firstLineChars="0"/>
                    <w:jc w:val="center"/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  <w:t>指标</w:t>
                  </w:r>
                </w:p>
              </w:tc>
              <w:tc>
                <w:tcPr>
                  <w:tcW w:w="1820" w:type="pct"/>
                  <w:shd w:val="clear" w:color="auto" w:fill="FFFFFF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5"/>
                    <w:keepNext w:val="0"/>
                    <w:keepLines w:val="0"/>
                    <w:pageBreakBefore w:val="0"/>
                    <w:widowControl/>
                    <w:suppressLineNumbers w:val="0"/>
                    <w:suppressAutoHyphens w:val="0"/>
                    <w:ind w:left="0" w:leftChars="0" w:right="0" w:rightChars="0" w:firstLine="0" w:firstLineChars="0"/>
                    <w:jc w:val="center"/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  <w:t>名称</w:t>
                  </w:r>
                </w:p>
              </w:tc>
              <w:tc>
                <w:tcPr>
                  <w:tcW w:w="1132" w:type="pct"/>
                  <w:shd w:val="clear" w:color="auto" w:fill="FFFFFF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5"/>
                    <w:keepNext w:val="0"/>
                    <w:keepLines w:val="0"/>
                    <w:pageBreakBefore w:val="0"/>
                    <w:widowControl/>
                    <w:suppressLineNumbers w:val="0"/>
                    <w:suppressAutoHyphens w:val="0"/>
                    <w:ind w:left="0" w:leftChars="0" w:right="0" w:rightChars="0" w:firstLine="0" w:firstLineChars="0"/>
                    <w:jc w:val="center"/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  <w:t>指标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908" w:type="pct"/>
                  <w:shd w:val="clear" w:color="auto" w:fill="FFFFFF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5"/>
                    <w:keepNext w:val="0"/>
                    <w:keepLines w:val="0"/>
                    <w:pageBreakBefore w:val="0"/>
                    <w:widowControl/>
                    <w:suppressLineNumbers w:val="0"/>
                    <w:suppressAutoHyphens w:val="0"/>
                    <w:ind w:left="0" w:leftChars="0" w:right="0" w:rightChars="0" w:firstLine="0" w:firstLineChars="0"/>
                    <w:jc w:val="center"/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  <w:t>NaCl</w:t>
                  </w:r>
                </w:p>
              </w:tc>
              <w:tc>
                <w:tcPr>
                  <w:tcW w:w="1139" w:type="pct"/>
                  <w:shd w:val="clear" w:color="auto" w:fill="FFFFFF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5"/>
                    <w:keepNext w:val="0"/>
                    <w:keepLines w:val="0"/>
                    <w:pageBreakBefore w:val="0"/>
                    <w:widowControl/>
                    <w:suppressLineNumbers w:val="0"/>
                    <w:suppressAutoHyphens w:val="0"/>
                    <w:ind w:left="0" w:leftChars="0" w:right="0" w:rightChars="0" w:firstLine="0" w:firstLineChars="0"/>
                    <w:jc w:val="center"/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  <w:t>≥300 g/L</w:t>
                  </w:r>
                </w:p>
              </w:tc>
              <w:tc>
                <w:tcPr>
                  <w:tcW w:w="1820" w:type="pct"/>
                  <w:shd w:val="clear" w:color="auto" w:fill="FFFFFF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5"/>
                    <w:keepNext w:val="0"/>
                    <w:keepLines w:val="0"/>
                    <w:pageBreakBefore w:val="0"/>
                    <w:widowControl/>
                    <w:suppressLineNumbers w:val="0"/>
                    <w:suppressAutoHyphens w:val="0"/>
                    <w:ind w:left="0" w:leftChars="0" w:right="0" w:rightChars="0" w:firstLine="0" w:firstLineChars="0"/>
                    <w:jc w:val="center"/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  <w:t>NaOH</w:t>
                  </w:r>
                </w:p>
              </w:tc>
              <w:tc>
                <w:tcPr>
                  <w:tcW w:w="1132" w:type="pct"/>
                  <w:shd w:val="clear" w:color="auto" w:fill="FFFFFF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5"/>
                    <w:keepNext w:val="0"/>
                    <w:keepLines w:val="0"/>
                    <w:pageBreakBefore w:val="0"/>
                    <w:widowControl/>
                    <w:suppressLineNumbers w:val="0"/>
                    <w:suppressAutoHyphens w:val="0"/>
                    <w:ind w:left="0" w:leftChars="0" w:right="0" w:rightChars="0" w:firstLine="0" w:firstLineChars="0"/>
                    <w:jc w:val="center"/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  <w:t>0.2~0.3 g/L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908" w:type="pct"/>
                  <w:shd w:val="clear" w:color="auto" w:fill="FFFFFF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5"/>
                    <w:keepNext w:val="0"/>
                    <w:keepLines w:val="0"/>
                    <w:pageBreakBefore w:val="0"/>
                    <w:widowControl/>
                    <w:suppressLineNumbers w:val="0"/>
                    <w:suppressAutoHyphens w:val="0"/>
                    <w:ind w:left="0" w:leftChars="0" w:right="0" w:rightChars="0" w:firstLine="0" w:firstLineChars="0"/>
                    <w:jc w:val="center"/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  <w:t>NaClO3</w:t>
                  </w:r>
                </w:p>
              </w:tc>
              <w:tc>
                <w:tcPr>
                  <w:tcW w:w="1139" w:type="pct"/>
                  <w:shd w:val="clear" w:color="auto" w:fill="FFFFFF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5"/>
                    <w:keepNext w:val="0"/>
                    <w:keepLines w:val="0"/>
                    <w:pageBreakBefore w:val="0"/>
                    <w:widowControl/>
                    <w:suppressLineNumbers w:val="0"/>
                    <w:suppressAutoHyphens w:val="0"/>
                    <w:ind w:left="0" w:leftChars="0" w:right="0" w:rightChars="0" w:firstLine="0" w:firstLineChars="0"/>
                    <w:jc w:val="center"/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  <w:t>≤2 g/L</w:t>
                  </w:r>
                </w:p>
              </w:tc>
              <w:tc>
                <w:tcPr>
                  <w:tcW w:w="1820" w:type="pct"/>
                  <w:shd w:val="clear" w:color="auto" w:fill="FFFFFF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5"/>
                    <w:keepNext w:val="0"/>
                    <w:keepLines w:val="0"/>
                    <w:pageBreakBefore w:val="0"/>
                    <w:widowControl/>
                    <w:suppressLineNumbers w:val="0"/>
                    <w:suppressAutoHyphens w:val="0"/>
                    <w:ind w:left="0" w:leftChars="0" w:right="0" w:rightChars="0" w:firstLine="0" w:firstLineChars="0"/>
                    <w:jc w:val="center"/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  <w:t>Ca+Mg(折Ca)</w:t>
                  </w:r>
                </w:p>
              </w:tc>
              <w:tc>
                <w:tcPr>
                  <w:tcW w:w="1132" w:type="pct"/>
                  <w:shd w:val="clear" w:color="auto" w:fill="FFFFFF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5"/>
                    <w:keepNext w:val="0"/>
                    <w:keepLines w:val="0"/>
                    <w:pageBreakBefore w:val="0"/>
                    <w:widowControl/>
                    <w:suppressLineNumbers w:val="0"/>
                    <w:suppressAutoHyphens w:val="0"/>
                    <w:ind w:left="0" w:leftChars="0" w:right="0" w:rightChars="0" w:firstLine="0" w:firstLineChars="0"/>
                    <w:jc w:val="center"/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  <w:t>≤1.0 mg/L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908" w:type="pct"/>
                  <w:shd w:val="clear" w:color="auto" w:fill="FFFFFF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5"/>
                    <w:keepNext w:val="0"/>
                    <w:keepLines w:val="0"/>
                    <w:pageBreakBefore w:val="0"/>
                    <w:widowControl/>
                    <w:suppressLineNumbers w:val="0"/>
                    <w:suppressAutoHyphens w:val="0"/>
                    <w:ind w:left="0" w:leftChars="0" w:right="0" w:rightChars="0" w:firstLine="0" w:firstLineChars="0"/>
                    <w:jc w:val="center"/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  <w:t>Na2CO3</w:t>
                  </w:r>
                </w:p>
              </w:tc>
              <w:tc>
                <w:tcPr>
                  <w:tcW w:w="1139" w:type="pct"/>
                  <w:shd w:val="clear" w:color="auto" w:fill="FFFFFF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5"/>
                    <w:keepNext w:val="0"/>
                    <w:keepLines w:val="0"/>
                    <w:pageBreakBefore w:val="0"/>
                    <w:widowControl/>
                    <w:suppressLineNumbers w:val="0"/>
                    <w:suppressAutoHyphens w:val="0"/>
                    <w:ind w:left="0" w:leftChars="0" w:right="0" w:rightChars="0" w:firstLine="0" w:firstLineChars="0"/>
                    <w:jc w:val="center"/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  <w:t>0.4~0.6 g/L</w:t>
                  </w:r>
                </w:p>
              </w:tc>
              <w:tc>
                <w:tcPr>
                  <w:tcW w:w="1820" w:type="pct"/>
                  <w:shd w:val="clear" w:color="auto" w:fill="FFFFFF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5"/>
                    <w:keepNext w:val="0"/>
                    <w:keepLines w:val="0"/>
                    <w:pageBreakBefore w:val="0"/>
                    <w:widowControl/>
                    <w:suppressLineNumbers w:val="0"/>
                    <w:suppressAutoHyphens w:val="0"/>
                    <w:ind w:left="0" w:leftChars="0" w:right="0" w:rightChars="0" w:firstLine="0" w:firstLineChars="0"/>
                    <w:jc w:val="center"/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  <w:t>SiO2</w:t>
                  </w:r>
                </w:p>
              </w:tc>
              <w:tc>
                <w:tcPr>
                  <w:tcW w:w="1132" w:type="pct"/>
                  <w:shd w:val="clear" w:color="auto" w:fill="FFFFFF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5"/>
                    <w:keepNext w:val="0"/>
                    <w:keepLines w:val="0"/>
                    <w:pageBreakBefore w:val="0"/>
                    <w:widowControl/>
                    <w:suppressLineNumbers w:val="0"/>
                    <w:suppressAutoHyphens w:val="0"/>
                    <w:ind w:left="0" w:leftChars="0" w:right="0" w:rightChars="0" w:firstLine="0" w:firstLineChars="0"/>
                    <w:jc w:val="center"/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  <w:t>≤5 mg/L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908" w:type="pct"/>
                  <w:shd w:val="clear" w:color="auto" w:fill="FFFFFF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5"/>
                    <w:keepNext w:val="0"/>
                    <w:keepLines w:val="0"/>
                    <w:pageBreakBefore w:val="0"/>
                    <w:widowControl/>
                    <w:suppressLineNumbers w:val="0"/>
                    <w:suppressAutoHyphens w:val="0"/>
                    <w:ind w:left="0" w:leftChars="0" w:right="0" w:rightChars="0" w:firstLine="0" w:firstLineChars="0"/>
                    <w:jc w:val="center"/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  <w:t>Sr</w:t>
                  </w:r>
                </w:p>
              </w:tc>
              <w:tc>
                <w:tcPr>
                  <w:tcW w:w="1139" w:type="pct"/>
                  <w:shd w:val="clear" w:color="auto" w:fill="FFFFFF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5"/>
                    <w:keepNext w:val="0"/>
                    <w:keepLines w:val="0"/>
                    <w:pageBreakBefore w:val="0"/>
                    <w:widowControl/>
                    <w:suppressLineNumbers w:val="0"/>
                    <w:suppressAutoHyphens w:val="0"/>
                    <w:ind w:left="0" w:leftChars="0" w:right="0" w:rightChars="0" w:firstLine="0" w:firstLineChars="0"/>
                    <w:jc w:val="center"/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  <w:t>≤0.3 mg/L</w:t>
                  </w:r>
                </w:p>
              </w:tc>
              <w:tc>
                <w:tcPr>
                  <w:tcW w:w="1820" w:type="pct"/>
                  <w:shd w:val="clear" w:color="auto" w:fill="FFFFFF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5"/>
                    <w:keepNext w:val="0"/>
                    <w:keepLines w:val="0"/>
                    <w:pageBreakBefore w:val="0"/>
                    <w:widowControl/>
                    <w:suppressLineNumbers w:val="0"/>
                    <w:suppressAutoHyphens w:val="0"/>
                    <w:ind w:left="0" w:leftChars="0" w:right="0" w:rightChars="0" w:firstLine="0" w:firstLineChars="0"/>
                    <w:jc w:val="center"/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  <w:t>I</w:t>
                  </w:r>
                </w:p>
              </w:tc>
              <w:tc>
                <w:tcPr>
                  <w:tcW w:w="1132" w:type="pct"/>
                  <w:shd w:val="clear" w:color="auto" w:fill="FFFFFF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5"/>
                    <w:keepNext w:val="0"/>
                    <w:keepLines w:val="0"/>
                    <w:pageBreakBefore w:val="0"/>
                    <w:widowControl/>
                    <w:suppressLineNumbers w:val="0"/>
                    <w:suppressAutoHyphens w:val="0"/>
                    <w:ind w:left="0" w:leftChars="0" w:right="0" w:rightChars="0" w:firstLine="0" w:firstLineChars="0"/>
                    <w:jc w:val="center"/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  <w:t>≤0.2 mg/L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908" w:type="pct"/>
                  <w:shd w:val="clear" w:color="auto" w:fill="FFFFFF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5"/>
                    <w:keepNext w:val="0"/>
                    <w:keepLines w:val="0"/>
                    <w:pageBreakBefore w:val="0"/>
                    <w:widowControl/>
                    <w:suppressLineNumbers w:val="0"/>
                    <w:suppressAutoHyphens w:val="0"/>
                    <w:ind w:left="0" w:leftChars="0" w:right="0" w:rightChars="0" w:firstLine="0" w:firstLineChars="0"/>
                    <w:jc w:val="center"/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  <w:t>Al</w:t>
                  </w:r>
                </w:p>
              </w:tc>
              <w:tc>
                <w:tcPr>
                  <w:tcW w:w="1139" w:type="pct"/>
                  <w:shd w:val="clear" w:color="auto" w:fill="FFFFFF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5"/>
                    <w:keepNext w:val="0"/>
                    <w:keepLines w:val="0"/>
                    <w:pageBreakBefore w:val="0"/>
                    <w:widowControl/>
                    <w:suppressLineNumbers w:val="0"/>
                    <w:suppressAutoHyphens w:val="0"/>
                    <w:ind w:left="0" w:leftChars="0" w:right="0" w:rightChars="0" w:firstLine="0" w:firstLineChars="0"/>
                    <w:jc w:val="center"/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  <w:t>≤0.1 mg/L</w:t>
                  </w:r>
                </w:p>
              </w:tc>
              <w:tc>
                <w:tcPr>
                  <w:tcW w:w="1820" w:type="pct"/>
                  <w:shd w:val="clear" w:color="auto" w:fill="FFFFFF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5"/>
                    <w:keepNext w:val="0"/>
                    <w:keepLines w:val="0"/>
                    <w:pageBreakBefore w:val="0"/>
                    <w:widowControl/>
                    <w:suppressLineNumbers w:val="0"/>
                    <w:suppressAutoHyphens w:val="0"/>
                    <w:ind w:left="0" w:leftChars="0" w:right="0" w:rightChars="0" w:firstLine="0" w:firstLineChars="0"/>
                    <w:jc w:val="center"/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  <w:t>有机物(以TOC计)</w:t>
                  </w:r>
                </w:p>
              </w:tc>
              <w:tc>
                <w:tcPr>
                  <w:tcW w:w="1132" w:type="pct"/>
                  <w:shd w:val="clear" w:color="auto" w:fill="FFFFFF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5"/>
                    <w:keepNext w:val="0"/>
                    <w:keepLines w:val="0"/>
                    <w:pageBreakBefore w:val="0"/>
                    <w:widowControl/>
                    <w:suppressLineNumbers w:val="0"/>
                    <w:suppressAutoHyphens w:val="0"/>
                    <w:ind w:left="0" w:leftChars="0" w:right="0" w:rightChars="0" w:firstLine="0" w:firstLineChars="0"/>
                    <w:jc w:val="center"/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  <w:t>≤10 mg/L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908" w:type="pct"/>
                  <w:shd w:val="clear" w:color="auto" w:fill="FFFFFF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5"/>
                    <w:keepNext w:val="0"/>
                    <w:keepLines w:val="0"/>
                    <w:pageBreakBefore w:val="0"/>
                    <w:widowControl/>
                    <w:suppressLineNumbers w:val="0"/>
                    <w:suppressAutoHyphens w:val="0"/>
                    <w:ind w:left="0" w:leftChars="0" w:right="0" w:rightChars="0" w:firstLine="0" w:firstLineChars="0"/>
                    <w:jc w:val="center"/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  <w:t>Ni</w:t>
                  </w:r>
                </w:p>
              </w:tc>
              <w:tc>
                <w:tcPr>
                  <w:tcW w:w="1139" w:type="pct"/>
                  <w:shd w:val="clear" w:color="auto" w:fill="FFFFFF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5"/>
                    <w:keepNext w:val="0"/>
                    <w:keepLines w:val="0"/>
                    <w:pageBreakBefore w:val="0"/>
                    <w:widowControl/>
                    <w:suppressLineNumbers w:val="0"/>
                    <w:suppressAutoHyphens w:val="0"/>
                    <w:ind w:left="0" w:leftChars="0" w:right="0" w:rightChars="0" w:firstLine="0" w:firstLineChars="0"/>
                    <w:jc w:val="center"/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  <w:t>≤0.01 mg/L</w:t>
                  </w:r>
                </w:p>
              </w:tc>
              <w:tc>
                <w:tcPr>
                  <w:tcW w:w="1820" w:type="pct"/>
                  <w:shd w:val="clear" w:color="auto" w:fill="FFFFFF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5"/>
                    <w:keepNext w:val="0"/>
                    <w:keepLines w:val="0"/>
                    <w:pageBreakBefore w:val="0"/>
                    <w:widowControl/>
                    <w:suppressLineNumbers w:val="0"/>
                    <w:suppressAutoHyphens w:val="0"/>
                    <w:ind w:left="0" w:leftChars="0" w:right="0" w:rightChars="0" w:firstLine="0" w:firstLineChars="0"/>
                    <w:jc w:val="center"/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  <w:t>游离氯</w:t>
                  </w:r>
                </w:p>
              </w:tc>
              <w:tc>
                <w:tcPr>
                  <w:tcW w:w="1132" w:type="pct"/>
                  <w:shd w:val="clear" w:color="auto" w:fill="FFFFFF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5"/>
                    <w:keepNext w:val="0"/>
                    <w:keepLines w:val="0"/>
                    <w:pageBreakBefore w:val="0"/>
                    <w:widowControl/>
                    <w:suppressLineNumbers w:val="0"/>
                    <w:suppressAutoHyphens w:val="0"/>
                    <w:ind w:left="0" w:leftChars="0" w:right="0" w:rightChars="0" w:firstLine="0" w:firstLineChars="0"/>
                    <w:jc w:val="center"/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 w:val="0"/>
                      <w:color w:val="000000" w:themeColor="text1"/>
                      <w:kern w:val="2"/>
                      <w:sz w:val="21"/>
                      <w:szCs w:val="21"/>
                      <w:lang w:val="en-US" w:eastAsia="zh-CN" w:bidi="ar-SA"/>
                      <w14:textFill>
                        <w14:solidFill>
                          <w14:schemeClr w14:val="tx1"/>
                        </w14:solidFill>
                      </w14:textFill>
                    </w:rPr>
                    <w:t>检不出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both"/>
              <w:textAlignment w:val="auto"/>
              <w:outlineLvl w:val="0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2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揭榜方要求</w:t>
            </w:r>
          </w:p>
        </w:tc>
        <w:tc>
          <w:tcPr>
            <w:tcW w:w="72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2" w:firstLineChars="200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揭榜方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可为化医集团三方企业为主体或以各类创新平台、创新联合体、“三室”、不同企业自由组建的创新团队。本企业技术（工程）中心、实验室、工作室或车间、班组等研发团队，员工自发组建的技术攻关团队；集团或本企业具有较强研发能力的个人。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应具备良好身体素质，较好的科研组织能力；中级以上技术职称；拥有一定的工程技术研究开发经验；熟悉废盐处理专业技术知识。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0"/>
        <w:rPr>
          <w:rFonts w:hint="default" w:ascii="Times New Roman" w:hAnsi="Times New Roman" w:eastAsia="仿宋" w:cs="Times New Roman"/>
          <w:color w:val="000000" w:themeColor="text1"/>
          <w:sz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br w:type="page"/>
      </w: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5.DHP工艺提升研发攻关</w:t>
      </w:r>
    </w:p>
    <w:tbl>
      <w:tblPr>
        <w:tblStyle w:val="6"/>
        <w:tblW w:w="85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1606"/>
        <w:gridCol w:w="1467"/>
        <w:gridCol w:w="499"/>
        <w:gridCol w:w="1237"/>
        <w:gridCol w:w="155"/>
        <w:gridCol w:w="2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85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发榜</w:t>
            </w: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方基本</w:t>
            </w: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3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重庆紫光国际化工有限责任公司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5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单位地址</w:t>
            </w:r>
          </w:p>
        </w:tc>
        <w:tc>
          <w:tcPr>
            <w:tcW w:w="2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长寿晏家化工园区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jc w:val="center"/>
        </w:trPr>
        <w:tc>
          <w:tcPr>
            <w:tcW w:w="13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陈薛强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2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副总工程师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19936642875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cccxxxqqq@sina.com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jc w:val="center"/>
        </w:trPr>
        <w:tc>
          <w:tcPr>
            <w:tcW w:w="85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研发</w:t>
            </w: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发榜</w:t>
            </w:r>
            <w:r>
              <w:rPr>
                <w:rFonts w:hint="default" w:ascii="Times New Roman" w:hAnsi="Times New Roman" w:eastAsia="方正黑体_GBK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研发金额</w:t>
            </w:r>
          </w:p>
        </w:tc>
        <w:tc>
          <w:tcPr>
            <w:tcW w:w="3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见发榜方案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实施周期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产权归属</w:t>
            </w:r>
          </w:p>
        </w:tc>
        <w:tc>
          <w:tcPr>
            <w:tcW w:w="3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根据双方贡献度进行分配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奖励方法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项目分红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1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技术攻关主要内容</w:t>
            </w: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及考核指标</w:t>
            </w:r>
          </w:p>
        </w:tc>
        <w:tc>
          <w:tcPr>
            <w:tcW w:w="72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both"/>
              <w:textAlignment w:val="auto"/>
              <w:outlineLvl w:val="0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通过探索阻聚剂、催化剂、抑制剂等使用，优化物料配比和反应条件控制，增强反应物料的流动性，减少结块，提升反应速率，提高反应收率。实现收率达到87%以上，较现有水平提升5%以上；主原料丙二酸二甲酯单耗降低到1.36以下，直接原材料消耗降低3%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2" w:hRule="atLeast"/>
          <w:jc w:val="center"/>
        </w:trPr>
        <w:tc>
          <w:tcPr>
            <w:tcW w:w="13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揭榜方要求</w:t>
            </w:r>
          </w:p>
        </w:tc>
        <w:tc>
          <w:tcPr>
            <w:tcW w:w="72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揭榜方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可为化医集团三方企业为主体或以各类创新平台、创新联合体、“三室”、不同企业自由组建的创新团队。本企业技术（工程）中心、实验室、工作室或车间、班组等研发团队，员工自发组建的技术攻关团队；集团或本企业具有较强研发能力的个人。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应具备良好身体素质，较好的科研组织能力；中级以上技术职称；拥有一定的工程技术研究开发经验；熟悉精细化学合成研究专业技术知识。</w:t>
            </w:r>
          </w:p>
        </w:tc>
      </w:tr>
    </w:tbl>
    <w:p>
      <w:pPr>
        <w:rPr>
          <w:rFonts w:hint="default" w:ascii="Times New Roman" w:hAnsi="Times New Roman" w:eastAsia="方正楷体_GBK" w:cs="Times New Roman"/>
          <w:sz w:val="24"/>
          <w:szCs w:val="24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984" w:right="1446" w:bottom="2041" w:left="14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2B451CB-33A3-4297-9BC4-6508FE93F3C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AA701450-958D-46DA-80BB-9FF470E9989D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55447CAE-C48F-47DF-AD20-7F75CA711820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FF4F993A-3D7E-46E0-A866-FA577219474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248A5FC2-B8B9-4470-BE37-6E0F403C5D0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5481A57C-BDE7-420D-948F-33920C1A3F60}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AJYnrPJAQAAk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5EXhrfHSO0zt9Rs7DBxoKfK6qaxSrPwd55PPfxK2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5dblS0AAAAAUBAAAPAAAAAAAAAAEAIAAAACIAAABkcnMvZG93bnJldi54&#10;bWxQSwECFAAUAAAACACHTuJAAlies8kBAACSAwAADgAAAAAAAAABACAAAAAf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iMzdjNTNlMWYyNjRlM2FmY2E5NDE2NDEzNWYxM2QifQ=="/>
  </w:docVars>
  <w:rsids>
    <w:rsidRoot w:val="00000000"/>
    <w:rsid w:val="00247343"/>
    <w:rsid w:val="0069744B"/>
    <w:rsid w:val="006E6810"/>
    <w:rsid w:val="00951FEE"/>
    <w:rsid w:val="00997D30"/>
    <w:rsid w:val="00A94673"/>
    <w:rsid w:val="00C44682"/>
    <w:rsid w:val="00E80370"/>
    <w:rsid w:val="01066A48"/>
    <w:rsid w:val="0119677B"/>
    <w:rsid w:val="011A4D50"/>
    <w:rsid w:val="013D404E"/>
    <w:rsid w:val="017442FA"/>
    <w:rsid w:val="01B1046A"/>
    <w:rsid w:val="01C41B77"/>
    <w:rsid w:val="01DB1C83"/>
    <w:rsid w:val="01F66ABD"/>
    <w:rsid w:val="02104A5E"/>
    <w:rsid w:val="022E44A8"/>
    <w:rsid w:val="02B17E86"/>
    <w:rsid w:val="02BA21E0"/>
    <w:rsid w:val="02CF7A3A"/>
    <w:rsid w:val="03004097"/>
    <w:rsid w:val="0306571C"/>
    <w:rsid w:val="032C2780"/>
    <w:rsid w:val="033C626F"/>
    <w:rsid w:val="03483348"/>
    <w:rsid w:val="0350044F"/>
    <w:rsid w:val="035148F2"/>
    <w:rsid w:val="036E41CD"/>
    <w:rsid w:val="038C76D9"/>
    <w:rsid w:val="03AF786B"/>
    <w:rsid w:val="03CF3A69"/>
    <w:rsid w:val="03FA6D38"/>
    <w:rsid w:val="040556DD"/>
    <w:rsid w:val="040C25C7"/>
    <w:rsid w:val="041D6583"/>
    <w:rsid w:val="041F054D"/>
    <w:rsid w:val="04294F58"/>
    <w:rsid w:val="04877EA0"/>
    <w:rsid w:val="048B7990"/>
    <w:rsid w:val="04A96068"/>
    <w:rsid w:val="04B50EB1"/>
    <w:rsid w:val="051A5F1D"/>
    <w:rsid w:val="05404C1F"/>
    <w:rsid w:val="054144F3"/>
    <w:rsid w:val="057A317B"/>
    <w:rsid w:val="05964F85"/>
    <w:rsid w:val="05A01219"/>
    <w:rsid w:val="05AF5900"/>
    <w:rsid w:val="05DD5554"/>
    <w:rsid w:val="06084F90"/>
    <w:rsid w:val="06135E8F"/>
    <w:rsid w:val="061B2F96"/>
    <w:rsid w:val="06304C93"/>
    <w:rsid w:val="06527A7A"/>
    <w:rsid w:val="069A036D"/>
    <w:rsid w:val="069C2099"/>
    <w:rsid w:val="06DC2725"/>
    <w:rsid w:val="06F37A6F"/>
    <w:rsid w:val="07C1191B"/>
    <w:rsid w:val="07C136C9"/>
    <w:rsid w:val="07C84A57"/>
    <w:rsid w:val="07D433FC"/>
    <w:rsid w:val="07D653C6"/>
    <w:rsid w:val="07F67816"/>
    <w:rsid w:val="08231BEF"/>
    <w:rsid w:val="08285910"/>
    <w:rsid w:val="086724C2"/>
    <w:rsid w:val="08AA23AF"/>
    <w:rsid w:val="08C72F61"/>
    <w:rsid w:val="09075A53"/>
    <w:rsid w:val="0943614C"/>
    <w:rsid w:val="09622C8A"/>
    <w:rsid w:val="097A4477"/>
    <w:rsid w:val="09F85A1C"/>
    <w:rsid w:val="09FB7366"/>
    <w:rsid w:val="0A165F4E"/>
    <w:rsid w:val="0A2E4A98"/>
    <w:rsid w:val="0A6071C9"/>
    <w:rsid w:val="0A9357F1"/>
    <w:rsid w:val="0B4C4C98"/>
    <w:rsid w:val="0B7849E6"/>
    <w:rsid w:val="0B792C38"/>
    <w:rsid w:val="0BD75BB1"/>
    <w:rsid w:val="0BD936D7"/>
    <w:rsid w:val="0BE72997"/>
    <w:rsid w:val="0BED2CDE"/>
    <w:rsid w:val="0C0F6BAC"/>
    <w:rsid w:val="0C295513"/>
    <w:rsid w:val="0C665913"/>
    <w:rsid w:val="0C923886"/>
    <w:rsid w:val="0CB16402"/>
    <w:rsid w:val="0CCE0D62"/>
    <w:rsid w:val="0D0B5B12"/>
    <w:rsid w:val="0D8B6C53"/>
    <w:rsid w:val="0DB8556E"/>
    <w:rsid w:val="0DF76096"/>
    <w:rsid w:val="0E124C7E"/>
    <w:rsid w:val="0E1A1D85"/>
    <w:rsid w:val="0E1C3D4F"/>
    <w:rsid w:val="0E5434E9"/>
    <w:rsid w:val="0E6574A4"/>
    <w:rsid w:val="0E697FB4"/>
    <w:rsid w:val="0E7E40C2"/>
    <w:rsid w:val="0F3876C0"/>
    <w:rsid w:val="0F387885"/>
    <w:rsid w:val="0FD04DF1"/>
    <w:rsid w:val="0FED14FF"/>
    <w:rsid w:val="100F5919"/>
    <w:rsid w:val="101958FA"/>
    <w:rsid w:val="102B64CB"/>
    <w:rsid w:val="107C2883"/>
    <w:rsid w:val="10E15290"/>
    <w:rsid w:val="1109680C"/>
    <w:rsid w:val="1110274D"/>
    <w:rsid w:val="111725AC"/>
    <w:rsid w:val="112453F4"/>
    <w:rsid w:val="113B0990"/>
    <w:rsid w:val="11407D54"/>
    <w:rsid w:val="114C494B"/>
    <w:rsid w:val="11744968"/>
    <w:rsid w:val="11C42733"/>
    <w:rsid w:val="12130FC5"/>
    <w:rsid w:val="122A4C8C"/>
    <w:rsid w:val="125C6E10"/>
    <w:rsid w:val="12706F68"/>
    <w:rsid w:val="1292638E"/>
    <w:rsid w:val="12B44007"/>
    <w:rsid w:val="12DA1AE3"/>
    <w:rsid w:val="130F79DE"/>
    <w:rsid w:val="13222DD7"/>
    <w:rsid w:val="13A02D05"/>
    <w:rsid w:val="13AC16D1"/>
    <w:rsid w:val="13B660AC"/>
    <w:rsid w:val="13C92283"/>
    <w:rsid w:val="13CE33F5"/>
    <w:rsid w:val="13E946D3"/>
    <w:rsid w:val="14357918"/>
    <w:rsid w:val="145F04F1"/>
    <w:rsid w:val="14A30D26"/>
    <w:rsid w:val="14B7032D"/>
    <w:rsid w:val="14BE16BC"/>
    <w:rsid w:val="14E31122"/>
    <w:rsid w:val="14E76E65"/>
    <w:rsid w:val="14F275B8"/>
    <w:rsid w:val="150B6FE7"/>
    <w:rsid w:val="15237771"/>
    <w:rsid w:val="156D38FF"/>
    <w:rsid w:val="15962639"/>
    <w:rsid w:val="15A5462A"/>
    <w:rsid w:val="15A64DD3"/>
    <w:rsid w:val="15E213DA"/>
    <w:rsid w:val="160C6457"/>
    <w:rsid w:val="160F7CF5"/>
    <w:rsid w:val="16481D0C"/>
    <w:rsid w:val="164E081E"/>
    <w:rsid w:val="16797F90"/>
    <w:rsid w:val="168023D3"/>
    <w:rsid w:val="16810BF3"/>
    <w:rsid w:val="16B215BF"/>
    <w:rsid w:val="16E55626"/>
    <w:rsid w:val="170535D2"/>
    <w:rsid w:val="1706633F"/>
    <w:rsid w:val="17282262"/>
    <w:rsid w:val="177F74FC"/>
    <w:rsid w:val="17BB1EE3"/>
    <w:rsid w:val="17D336D0"/>
    <w:rsid w:val="17DB1FB7"/>
    <w:rsid w:val="183569CC"/>
    <w:rsid w:val="185145F5"/>
    <w:rsid w:val="185C36C6"/>
    <w:rsid w:val="1869193F"/>
    <w:rsid w:val="188E5849"/>
    <w:rsid w:val="189D5A8C"/>
    <w:rsid w:val="18C80D5B"/>
    <w:rsid w:val="18D25736"/>
    <w:rsid w:val="18D3325C"/>
    <w:rsid w:val="18FA4C8D"/>
    <w:rsid w:val="19157D18"/>
    <w:rsid w:val="193208CA"/>
    <w:rsid w:val="19371A3D"/>
    <w:rsid w:val="19375EB3"/>
    <w:rsid w:val="193E726F"/>
    <w:rsid w:val="19505997"/>
    <w:rsid w:val="19E43F01"/>
    <w:rsid w:val="1A037430"/>
    <w:rsid w:val="1A50725A"/>
    <w:rsid w:val="1A6525DA"/>
    <w:rsid w:val="1A7A42D7"/>
    <w:rsid w:val="1AB8095B"/>
    <w:rsid w:val="1AC252C2"/>
    <w:rsid w:val="1AC3697F"/>
    <w:rsid w:val="1ACC4407"/>
    <w:rsid w:val="1B7A3E63"/>
    <w:rsid w:val="1BE15049"/>
    <w:rsid w:val="1C3E30E2"/>
    <w:rsid w:val="1C4526C3"/>
    <w:rsid w:val="1C542906"/>
    <w:rsid w:val="1C5841A4"/>
    <w:rsid w:val="1C730FDE"/>
    <w:rsid w:val="1C903E72"/>
    <w:rsid w:val="1C962F1E"/>
    <w:rsid w:val="1CA27B15"/>
    <w:rsid w:val="1CDA105D"/>
    <w:rsid w:val="1CE343B6"/>
    <w:rsid w:val="1CF10155"/>
    <w:rsid w:val="1CF2284B"/>
    <w:rsid w:val="1CFC7225"/>
    <w:rsid w:val="1D012A8E"/>
    <w:rsid w:val="1D0F39CD"/>
    <w:rsid w:val="1D4110DC"/>
    <w:rsid w:val="1D852670"/>
    <w:rsid w:val="1D864D41"/>
    <w:rsid w:val="1DAF6046"/>
    <w:rsid w:val="1DBC0763"/>
    <w:rsid w:val="1DC530CE"/>
    <w:rsid w:val="1DD67A76"/>
    <w:rsid w:val="1DFC3255"/>
    <w:rsid w:val="1E162569"/>
    <w:rsid w:val="1E5A0FEF"/>
    <w:rsid w:val="1ECC6D19"/>
    <w:rsid w:val="1F1F544D"/>
    <w:rsid w:val="1F8E612F"/>
    <w:rsid w:val="1F933745"/>
    <w:rsid w:val="1F973235"/>
    <w:rsid w:val="1F9A4E2D"/>
    <w:rsid w:val="1FBF53E5"/>
    <w:rsid w:val="1FC61D6D"/>
    <w:rsid w:val="1FCB1131"/>
    <w:rsid w:val="1FE67D19"/>
    <w:rsid w:val="1FF24910"/>
    <w:rsid w:val="201C3240"/>
    <w:rsid w:val="20565F1C"/>
    <w:rsid w:val="20857532"/>
    <w:rsid w:val="20943C19"/>
    <w:rsid w:val="209D487B"/>
    <w:rsid w:val="209D6CA4"/>
    <w:rsid w:val="20B816B5"/>
    <w:rsid w:val="20C55B80"/>
    <w:rsid w:val="21093D59"/>
    <w:rsid w:val="211F34E2"/>
    <w:rsid w:val="21C64504"/>
    <w:rsid w:val="21D818E3"/>
    <w:rsid w:val="21FF50C2"/>
    <w:rsid w:val="223034CD"/>
    <w:rsid w:val="227B0BEC"/>
    <w:rsid w:val="228A7081"/>
    <w:rsid w:val="22BE3A9A"/>
    <w:rsid w:val="22EC5646"/>
    <w:rsid w:val="23241284"/>
    <w:rsid w:val="23305E7B"/>
    <w:rsid w:val="234F5BD5"/>
    <w:rsid w:val="23897339"/>
    <w:rsid w:val="2393640A"/>
    <w:rsid w:val="239C706C"/>
    <w:rsid w:val="23C44815"/>
    <w:rsid w:val="23E7405F"/>
    <w:rsid w:val="2400268B"/>
    <w:rsid w:val="240370EB"/>
    <w:rsid w:val="241237D2"/>
    <w:rsid w:val="2418246B"/>
    <w:rsid w:val="2440222C"/>
    <w:rsid w:val="24443260"/>
    <w:rsid w:val="24DD793C"/>
    <w:rsid w:val="250A6257"/>
    <w:rsid w:val="252753AE"/>
    <w:rsid w:val="255E0351"/>
    <w:rsid w:val="25BF7042"/>
    <w:rsid w:val="25CE54D7"/>
    <w:rsid w:val="25DF76E4"/>
    <w:rsid w:val="25EF0DCD"/>
    <w:rsid w:val="26502390"/>
    <w:rsid w:val="265527FC"/>
    <w:rsid w:val="265A4FBD"/>
    <w:rsid w:val="26906C30"/>
    <w:rsid w:val="26CF2C17"/>
    <w:rsid w:val="26DA496D"/>
    <w:rsid w:val="26DE799C"/>
    <w:rsid w:val="271138CD"/>
    <w:rsid w:val="275E288B"/>
    <w:rsid w:val="278C389C"/>
    <w:rsid w:val="27AA5AD0"/>
    <w:rsid w:val="27B5694E"/>
    <w:rsid w:val="27B92596"/>
    <w:rsid w:val="27F751B9"/>
    <w:rsid w:val="28695A0E"/>
    <w:rsid w:val="28885E11"/>
    <w:rsid w:val="28996270"/>
    <w:rsid w:val="28A644E9"/>
    <w:rsid w:val="28D9041B"/>
    <w:rsid w:val="28DC615D"/>
    <w:rsid w:val="29A9794B"/>
    <w:rsid w:val="29B64C00"/>
    <w:rsid w:val="2A6E7289"/>
    <w:rsid w:val="2A6F54DA"/>
    <w:rsid w:val="2A701253"/>
    <w:rsid w:val="2A906B26"/>
    <w:rsid w:val="2A9A62D0"/>
    <w:rsid w:val="2AE13EFE"/>
    <w:rsid w:val="2AF43C32"/>
    <w:rsid w:val="2B084FE7"/>
    <w:rsid w:val="2BA52AAD"/>
    <w:rsid w:val="2BA84A00"/>
    <w:rsid w:val="2BB84C5F"/>
    <w:rsid w:val="2BC2163A"/>
    <w:rsid w:val="2C10541E"/>
    <w:rsid w:val="2C3342E6"/>
    <w:rsid w:val="2C950AFD"/>
    <w:rsid w:val="2D0D2D89"/>
    <w:rsid w:val="2D360531"/>
    <w:rsid w:val="2D4C31F2"/>
    <w:rsid w:val="2D727090"/>
    <w:rsid w:val="2D9139BA"/>
    <w:rsid w:val="2D92328E"/>
    <w:rsid w:val="2D99461C"/>
    <w:rsid w:val="2DAC07F4"/>
    <w:rsid w:val="2DD92C6B"/>
    <w:rsid w:val="2E665B25"/>
    <w:rsid w:val="2E6764C9"/>
    <w:rsid w:val="2E961254"/>
    <w:rsid w:val="2E962DCD"/>
    <w:rsid w:val="2EB536D8"/>
    <w:rsid w:val="2EE67D35"/>
    <w:rsid w:val="2F1E127D"/>
    <w:rsid w:val="2F234B14"/>
    <w:rsid w:val="2F3B32FA"/>
    <w:rsid w:val="2F3E7229"/>
    <w:rsid w:val="2F4E0DAB"/>
    <w:rsid w:val="2F5729E1"/>
    <w:rsid w:val="2F5E78CC"/>
    <w:rsid w:val="2F7C41F6"/>
    <w:rsid w:val="2F803CE6"/>
    <w:rsid w:val="2F9652B7"/>
    <w:rsid w:val="2F996B56"/>
    <w:rsid w:val="2FDC6A42"/>
    <w:rsid w:val="2FEE6EA1"/>
    <w:rsid w:val="2FF43D8C"/>
    <w:rsid w:val="30087837"/>
    <w:rsid w:val="30A6152A"/>
    <w:rsid w:val="30D24471"/>
    <w:rsid w:val="30E107B4"/>
    <w:rsid w:val="3135465C"/>
    <w:rsid w:val="3136355C"/>
    <w:rsid w:val="323B5CA2"/>
    <w:rsid w:val="32807B59"/>
    <w:rsid w:val="32851613"/>
    <w:rsid w:val="32CB5278"/>
    <w:rsid w:val="32F32A3D"/>
    <w:rsid w:val="32FF3174"/>
    <w:rsid w:val="333746BC"/>
    <w:rsid w:val="33527747"/>
    <w:rsid w:val="33541711"/>
    <w:rsid w:val="336D4581"/>
    <w:rsid w:val="33811DDB"/>
    <w:rsid w:val="3383387C"/>
    <w:rsid w:val="33957634"/>
    <w:rsid w:val="33BA709B"/>
    <w:rsid w:val="33C5616B"/>
    <w:rsid w:val="33D4015C"/>
    <w:rsid w:val="33DC0F18"/>
    <w:rsid w:val="34180991"/>
    <w:rsid w:val="342441A9"/>
    <w:rsid w:val="34670FD0"/>
    <w:rsid w:val="347D6A46"/>
    <w:rsid w:val="34A02734"/>
    <w:rsid w:val="34A2025B"/>
    <w:rsid w:val="34CF642A"/>
    <w:rsid w:val="34D16D92"/>
    <w:rsid w:val="34F211E2"/>
    <w:rsid w:val="34F605A6"/>
    <w:rsid w:val="34F7628B"/>
    <w:rsid w:val="34F860CC"/>
    <w:rsid w:val="34FF745B"/>
    <w:rsid w:val="350C3926"/>
    <w:rsid w:val="35133AD1"/>
    <w:rsid w:val="35215623"/>
    <w:rsid w:val="356674DA"/>
    <w:rsid w:val="357070B5"/>
    <w:rsid w:val="3583008C"/>
    <w:rsid w:val="35942299"/>
    <w:rsid w:val="359F6A89"/>
    <w:rsid w:val="35B30F60"/>
    <w:rsid w:val="368C0490"/>
    <w:rsid w:val="369D517D"/>
    <w:rsid w:val="36C46BAE"/>
    <w:rsid w:val="36CA5847"/>
    <w:rsid w:val="371F3DE4"/>
    <w:rsid w:val="373D426B"/>
    <w:rsid w:val="375C0B95"/>
    <w:rsid w:val="3768627F"/>
    <w:rsid w:val="37963E29"/>
    <w:rsid w:val="37BF2ED1"/>
    <w:rsid w:val="37CB7AC8"/>
    <w:rsid w:val="38305B7D"/>
    <w:rsid w:val="38327B47"/>
    <w:rsid w:val="385201EA"/>
    <w:rsid w:val="386F2B4A"/>
    <w:rsid w:val="38D06672"/>
    <w:rsid w:val="38DE382B"/>
    <w:rsid w:val="39861EF9"/>
    <w:rsid w:val="39B27C35"/>
    <w:rsid w:val="39EE7A9E"/>
    <w:rsid w:val="3A0D261A"/>
    <w:rsid w:val="3A1C285D"/>
    <w:rsid w:val="3A865F28"/>
    <w:rsid w:val="3A91588D"/>
    <w:rsid w:val="3AFB6916"/>
    <w:rsid w:val="3B3911ED"/>
    <w:rsid w:val="3B3F4A55"/>
    <w:rsid w:val="3B443E1A"/>
    <w:rsid w:val="3B5D312D"/>
    <w:rsid w:val="3B8E1539"/>
    <w:rsid w:val="3B90705F"/>
    <w:rsid w:val="3BCE7B87"/>
    <w:rsid w:val="3BF375EE"/>
    <w:rsid w:val="3C326368"/>
    <w:rsid w:val="3C397577"/>
    <w:rsid w:val="3C6B7ACC"/>
    <w:rsid w:val="3C6E4EC6"/>
    <w:rsid w:val="3C7626F9"/>
    <w:rsid w:val="3C8F7316"/>
    <w:rsid w:val="3CBB635D"/>
    <w:rsid w:val="3CE30D44"/>
    <w:rsid w:val="3D337CFF"/>
    <w:rsid w:val="3D3B56F0"/>
    <w:rsid w:val="3D510A70"/>
    <w:rsid w:val="3D7B3D3F"/>
    <w:rsid w:val="3D94095C"/>
    <w:rsid w:val="3DE97345"/>
    <w:rsid w:val="3E1A3557"/>
    <w:rsid w:val="3E7E3AE6"/>
    <w:rsid w:val="3E9F6404"/>
    <w:rsid w:val="3EA47FF8"/>
    <w:rsid w:val="3EAB0654"/>
    <w:rsid w:val="3EE74ABE"/>
    <w:rsid w:val="3EF25263"/>
    <w:rsid w:val="3FB157F6"/>
    <w:rsid w:val="3FBD419A"/>
    <w:rsid w:val="3FC7326B"/>
    <w:rsid w:val="3FD305D7"/>
    <w:rsid w:val="3FDF2363"/>
    <w:rsid w:val="3FE536F1"/>
    <w:rsid w:val="402C7E9D"/>
    <w:rsid w:val="4037219F"/>
    <w:rsid w:val="406B1E48"/>
    <w:rsid w:val="40C41559"/>
    <w:rsid w:val="40D20119"/>
    <w:rsid w:val="40D23C76"/>
    <w:rsid w:val="40D479EE"/>
    <w:rsid w:val="40DB2273"/>
    <w:rsid w:val="41434B73"/>
    <w:rsid w:val="415154E2"/>
    <w:rsid w:val="41605419"/>
    <w:rsid w:val="41931657"/>
    <w:rsid w:val="41A53138"/>
    <w:rsid w:val="41BD7202"/>
    <w:rsid w:val="41D34149"/>
    <w:rsid w:val="422B7AE1"/>
    <w:rsid w:val="42A67168"/>
    <w:rsid w:val="42B71375"/>
    <w:rsid w:val="43210462"/>
    <w:rsid w:val="433F136A"/>
    <w:rsid w:val="43476B9D"/>
    <w:rsid w:val="43713C1A"/>
    <w:rsid w:val="43943464"/>
    <w:rsid w:val="43A833B4"/>
    <w:rsid w:val="43AA0EDA"/>
    <w:rsid w:val="43F62371"/>
    <w:rsid w:val="441427F7"/>
    <w:rsid w:val="44522CCF"/>
    <w:rsid w:val="44615A3C"/>
    <w:rsid w:val="4469669F"/>
    <w:rsid w:val="446E0159"/>
    <w:rsid w:val="447514E8"/>
    <w:rsid w:val="45290F50"/>
    <w:rsid w:val="454F361F"/>
    <w:rsid w:val="4550160D"/>
    <w:rsid w:val="4577128F"/>
    <w:rsid w:val="45905EAD"/>
    <w:rsid w:val="45B1505C"/>
    <w:rsid w:val="45D71407"/>
    <w:rsid w:val="462F542D"/>
    <w:rsid w:val="468B4FF2"/>
    <w:rsid w:val="46A63BDA"/>
    <w:rsid w:val="46C44060"/>
    <w:rsid w:val="46C71DA3"/>
    <w:rsid w:val="46CC7D7D"/>
    <w:rsid w:val="46F661E4"/>
    <w:rsid w:val="46F97497"/>
    <w:rsid w:val="47094169"/>
    <w:rsid w:val="472745EF"/>
    <w:rsid w:val="472E3BD0"/>
    <w:rsid w:val="47462CC7"/>
    <w:rsid w:val="476F66C2"/>
    <w:rsid w:val="47F22E4F"/>
    <w:rsid w:val="48050DD4"/>
    <w:rsid w:val="4805359A"/>
    <w:rsid w:val="480779BB"/>
    <w:rsid w:val="481E3C44"/>
    <w:rsid w:val="48210C25"/>
    <w:rsid w:val="48253552"/>
    <w:rsid w:val="48482A6F"/>
    <w:rsid w:val="485D29BF"/>
    <w:rsid w:val="48FD385A"/>
    <w:rsid w:val="490177EE"/>
    <w:rsid w:val="49247038"/>
    <w:rsid w:val="4A5B2F2E"/>
    <w:rsid w:val="4A6242BC"/>
    <w:rsid w:val="4A69564B"/>
    <w:rsid w:val="4A7B35D0"/>
    <w:rsid w:val="4AA20B5D"/>
    <w:rsid w:val="4AA348A3"/>
    <w:rsid w:val="4AC97E97"/>
    <w:rsid w:val="4ADF590D"/>
    <w:rsid w:val="4AE118AE"/>
    <w:rsid w:val="4B180E1F"/>
    <w:rsid w:val="4B1A06F3"/>
    <w:rsid w:val="4B370F67"/>
    <w:rsid w:val="4B46598C"/>
    <w:rsid w:val="4B481704"/>
    <w:rsid w:val="4B4C2876"/>
    <w:rsid w:val="4B7122DD"/>
    <w:rsid w:val="4B726781"/>
    <w:rsid w:val="4B8244EA"/>
    <w:rsid w:val="4BA12BC2"/>
    <w:rsid w:val="4C293FCF"/>
    <w:rsid w:val="4C6C31D0"/>
    <w:rsid w:val="4CA706AC"/>
    <w:rsid w:val="4CC4300C"/>
    <w:rsid w:val="4CFB27A6"/>
    <w:rsid w:val="4CFD207A"/>
    <w:rsid w:val="4D21045F"/>
    <w:rsid w:val="4D357A66"/>
    <w:rsid w:val="4D6E2F78"/>
    <w:rsid w:val="4D8E7176"/>
    <w:rsid w:val="4D934353"/>
    <w:rsid w:val="4D9C7AE5"/>
    <w:rsid w:val="4DA846DC"/>
    <w:rsid w:val="4DE4323A"/>
    <w:rsid w:val="4E6C7CE0"/>
    <w:rsid w:val="4EA56E6D"/>
    <w:rsid w:val="4F1B2C8C"/>
    <w:rsid w:val="4F3501F1"/>
    <w:rsid w:val="4F583EE0"/>
    <w:rsid w:val="4F6E54B1"/>
    <w:rsid w:val="4F716D4F"/>
    <w:rsid w:val="4F980780"/>
    <w:rsid w:val="4FC41575"/>
    <w:rsid w:val="4FD23C92"/>
    <w:rsid w:val="500F0A42"/>
    <w:rsid w:val="50175B49"/>
    <w:rsid w:val="50371D47"/>
    <w:rsid w:val="503E4E84"/>
    <w:rsid w:val="5060304C"/>
    <w:rsid w:val="506643DA"/>
    <w:rsid w:val="506D39BB"/>
    <w:rsid w:val="508A1E77"/>
    <w:rsid w:val="50A82C45"/>
    <w:rsid w:val="50CA2BBB"/>
    <w:rsid w:val="50DE7065"/>
    <w:rsid w:val="51646B6C"/>
    <w:rsid w:val="517F7502"/>
    <w:rsid w:val="51915487"/>
    <w:rsid w:val="51A21442"/>
    <w:rsid w:val="51FE0D6E"/>
    <w:rsid w:val="5201260D"/>
    <w:rsid w:val="523F4EE3"/>
    <w:rsid w:val="524E3378"/>
    <w:rsid w:val="52524C16"/>
    <w:rsid w:val="526130AB"/>
    <w:rsid w:val="526F57C8"/>
    <w:rsid w:val="52A80CDA"/>
    <w:rsid w:val="52D95337"/>
    <w:rsid w:val="52E837CD"/>
    <w:rsid w:val="52ED26BB"/>
    <w:rsid w:val="53083527"/>
    <w:rsid w:val="531620E8"/>
    <w:rsid w:val="531935A4"/>
    <w:rsid w:val="53570176"/>
    <w:rsid w:val="53D77AC9"/>
    <w:rsid w:val="53EB5057"/>
    <w:rsid w:val="54273E81"/>
    <w:rsid w:val="54330A77"/>
    <w:rsid w:val="5495528E"/>
    <w:rsid w:val="54A92AE8"/>
    <w:rsid w:val="54B0031A"/>
    <w:rsid w:val="54FC530D"/>
    <w:rsid w:val="54FE2508"/>
    <w:rsid w:val="5539030F"/>
    <w:rsid w:val="564B43CE"/>
    <w:rsid w:val="565A053D"/>
    <w:rsid w:val="56C73327"/>
    <w:rsid w:val="56C836F9"/>
    <w:rsid w:val="57003974"/>
    <w:rsid w:val="570A3D11"/>
    <w:rsid w:val="5714693E"/>
    <w:rsid w:val="57212E09"/>
    <w:rsid w:val="57484FE3"/>
    <w:rsid w:val="574D3BFE"/>
    <w:rsid w:val="577E46FF"/>
    <w:rsid w:val="578507C0"/>
    <w:rsid w:val="57AA72A2"/>
    <w:rsid w:val="57AE0B41"/>
    <w:rsid w:val="57CA16F3"/>
    <w:rsid w:val="57EE3D68"/>
    <w:rsid w:val="58056981"/>
    <w:rsid w:val="58694A68"/>
    <w:rsid w:val="5889510A"/>
    <w:rsid w:val="589715D5"/>
    <w:rsid w:val="58B02697"/>
    <w:rsid w:val="58B2640F"/>
    <w:rsid w:val="58CE0D6F"/>
    <w:rsid w:val="593212FE"/>
    <w:rsid w:val="598D29D8"/>
    <w:rsid w:val="599A3D2F"/>
    <w:rsid w:val="59D703B5"/>
    <w:rsid w:val="5A0802B0"/>
    <w:rsid w:val="5A2012BB"/>
    <w:rsid w:val="5A3E3CD2"/>
    <w:rsid w:val="5AA903B9"/>
    <w:rsid w:val="5ABA00B2"/>
    <w:rsid w:val="5AC73CC7"/>
    <w:rsid w:val="5B1E422F"/>
    <w:rsid w:val="5B3E042E"/>
    <w:rsid w:val="5B491854"/>
    <w:rsid w:val="5B4D241F"/>
    <w:rsid w:val="5BA364E3"/>
    <w:rsid w:val="5BBB1A7E"/>
    <w:rsid w:val="5BCD17B1"/>
    <w:rsid w:val="5BD3501A"/>
    <w:rsid w:val="5BD7618C"/>
    <w:rsid w:val="5BE663CF"/>
    <w:rsid w:val="5C186617"/>
    <w:rsid w:val="5C2C00C5"/>
    <w:rsid w:val="5C641313"/>
    <w:rsid w:val="5CA03949"/>
    <w:rsid w:val="5D0E2082"/>
    <w:rsid w:val="5D107BA8"/>
    <w:rsid w:val="5D177188"/>
    <w:rsid w:val="5D2378DB"/>
    <w:rsid w:val="5D401A68"/>
    <w:rsid w:val="5D610403"/>
    <w:rsid w:val="5D700646"/>
    <w:rsid w:val="5DDE7CA6"/>
    <w:rsid w:val="5E0F7E5F"/>
    <w:rsid w:val="5E3478C6"/>
    <w:rsid w:val="5E3B0C54"/>
    <w:rsid w:val="5E693A13"/>
    <w:rsid w:val="5E7D301B"/>
    <w:rsid w:val="5EB033F0"/>
    <w:rsid w:val="5EBA7A31"/>
    <w:rsid w:val="5EBC7BE3"/>
    <w:rsid w:val="5ED2780B"/>
    <w:rsid w:val="5EDD54D4"/>
    <w:rsid w:val="5EFA466C"/>
    <w:rsid w:val="5F0059FA"/>
    <w:rsid w:val="5F166FCB"/>
    <w:rsid w:val="5F553F98"/>
    <w:rsid w:val="5F5A7800"/>
    <w:rsid w:val="5F7563E8"/>
    <w:rsid w:val="5F795ED8"/>
    <w:rsid w:val="5F850FA9"/>
    <w:rsid w:val="5FC627A0"/>
    <w:rsid w:val="600B4656"/>
    <w:rsid w:val="600D78DD"/>
    <w:rsid w:val="60285208"/>
    <w:rsid w:val="60530BE2"/>
    <w:rsid w:val="607C7302"/>
    <w:rsid w:val="60870181"/>
    <w:rsid w:val="609E54CA"/>
    <w:rsid w:val="60BA0556"/>
    <w:rsid w:val="60C018E5"/>
    <w:rsid w:val="60EC26DA"/>
    <w:rsid w:val="60F11A9E"/>
    <w:rsid w:val="611D2893"/>
    <w:rsid w:val="6122434D"/>
    <w:rsid w:val="615747AE"/>
    <w:rsid w:val="61732846"/>
    <w:rsid w:val="617A1A94"/>
    <w:rsid w:val="618C17C7"/>
    <w:rsid w:val="61B72CE8"/>
    <w:rsid w:val="61C827FF"/>
    <w:rsid w:val="61D513C0"/>
    <w:rsid w:val="61DE0274"/>
    <w:rsid w:val="61E37639"/>
    <w:rsid w:val="621E4B15"/>
    <w:rsid w:val="62257C51"/>
    <w:rsid w:val="62411979"/>
    <w:rsid w:val="625C1559"/>
    <w:rsid w:val="625C2C9A"/>
    <w:rsid w:val="62A0552A"/>
    <w:rsid w:val="62A52B40"/>
    <w:rsid w:val="62C51434"/>
    <w:rsid w:val="62CA25A7"/>
    <w:rsid w:val="63057A83"/>
    <w:rsid w:val="631C7E82"/>
    <w:rsid w:val="631D301E"/>
    <w:rsid w:val="63226E50"/>
    <w:rsid w:val="63302D52"/>
    <w:rsid w:val="635051A2"/>
    <w:rsid w:val="63586960"/>
    <w:rsid w:val="636D4B59"/>
    <w:rsid w:val="63795F60"/>
    <w:rsid w:val="639176FA"/>
    <w:rsid w:val="639D5F0D"/>
    <w:rsid w:val="63B079EF"/>
    <w:rsid w:val="63EF5D46"/>
    <w:rsid w:val="64713622"/>
    <w:rsid w:val="64A901F2"/>
    <w:rsid w:val="64CC310D"/>
    <w:rsid w:val="64DD4813"/>
    <w:rsid w:val="650A5824"/>
    <w:rsid w:val="651915C4"/>
    <w:rsid w:val="65222B6E"/>
    <w:rsid w:val="65515201"/>
    <w:rsid w:val="65986A82"/>
    <w:rsid w:val="65DA51F7"/>
    <w:rsid w:val="65EB7404"/>
    <w:rsid w:val="66383CCB"/>
    <w:rsid w:val="668A4527"/>
    <w:rsid w:val="66D9725C"/>
    <w:rsid w:val="66E83943"/>
    <w:rsid w:val="66EF4CD2"/>
    <w:rsid w:val="66F67E0E"/>
    <w:rsid w:val="66F83B86"/>
    <w:rsid w:val="67544B35"/>
    <w:rsid w:val="675E7762"/>
    <w:rsid w:val="676C6322"/>
    <w:rsid w:val="67C1041C"/>
    <w:rsid w:val="683706DE"/>
    <w:rsid w:val="69286279"/>
    <w:rsid w:val="696A4AE4"/>
    <w:rsid w:val="696C0215"/>
    <w:rsid w:val="69782D5D"/>
    <w:rsid w:val="698E07D2"/>
    <w:rsid w:val="69A973BA"/>
    <w:rsid w:val="69AE49D0"/>
    <w:rsid w:val="69BF098B"/>
    <w:rsid w:val="69C523DE"/>
    <w:rsid w:val="69FA19C4"/>
    <w:rsid w:val="69FD7706"/>
    <w:rsid w:val="6A002D52"/>
    <w:rsid w:val="6A0C5941"/>
    <w:rsid w:val="6A356EA0"/>
    <w:rsid w:val="6A4610AD"/>
    <w:rsid w:val="6A4D3DDC"/>
    <w:rsid w:val="6A641533"/>
    <w:rsid w:val="6A8954A7"/>
    <w:rsid w:val="6A8D0A8A"/>
    <w:rsid w:val="6AAD6A36"/>
    <w:rsid w:val="6AB97AD1"/>
    <w:rsid w:val="6AD55F8D"/>
    <w:rsid w:val="6AD77F57"/>
    <w:rsid w:val="6ADF09E7"/>
    <w:rsid w:val="6B221D8A"/>
    <w:rsid w:val="6B5F343C"/>
    <w:rsid w:val="6BE04BE9"/>
    <w:rsid w:val="6BF608B1"/>
    <w:rsid w:val="6C022DB1"/>
    <w:rsid w:val="6C2159A8"/>
    <w:rsid w:val="6C2A6BC7"/>
    <w:rsid w:val="6C2C6080"/>
    <w:rsid w:val="6C4B4758"/>
    <w:rsid w:val="6C510D6B"/>
    <w:rsid w:val="6C624437"/>
    <w:rsid w:val="6CB57E24"/>
    <w:rsid w:val="6CBA7B30"/>
    <w:rsid w:val="6CEB7CE9"/>
    <w:rsid w:val="6D0A63C2"/>
    <w:rsid w:val="6D254FA9"/>
    <w:rsid w:val="6D315A4B"/>
    <w:rsid w:val="6D4A0EB4"/>
    <w:rsid w:val="6D4C218E"/>
    <w:rsid w:val="6D543B83"/>
    <w:rsid w:val="6D672924"/>
    <w:rsid w:val="6DA700B4"/>
    <w:rsid w:val="6DF02515"/>
    <w:rsid w:val="6E096679"/>
    <w:rsid w:val="6E250FD9"/>
    <w:rsid w:val="6E290AC9"/>
    <w:rsid w:val="6E522CAD"/>
    <w:rsid w:val="6ECE341F"/>
    <w:rsid w:val="6EF8049C"/>
    <w:rsid w:val="6F59718C"/>
    <w:rsid w:val="6F6873CF"/>
    <w:rsid w:val="6F6D0E8A"/>
    <w:rsid w:val="6FB67073"/>
    <w:rsid w:val="6FC21BFD"/>
    <w:rsid w:val="70074822"/>
    <w:rsid w:val="70115CB9"/>
    <w:rsid w:val="7040659E"/>
    <w:rsid w:val="70840239"/>
    <w:rsid w:val="7084648B"/>
    <w:rsid w:val="70886FD2"/>
    <w:rsid w:val="70AE52B6"/>
    <w:rsid w:val="70DA60AB"/>
    <w:rsid w:val="70DE1102"/>
    <w:rsid w:val="710571BE"/>
    <w:rsid w:val="712F289B"/>
    <w:rsid w:val="714F6A99"/>
    <w:rsid w:val="71681909"/>
    <w:rsid w:val="71B354E5"/>
    <w:rsid w:val="71D61B4F"/>
    <w:rsid w:val="71E371E1"/>
    <w:rsid w:val="71EF202A"/>
    <w:rsid w:val="723932A5"/>
    <w:rsid w:val="72710C91"/>
    <w:rsid w:val="72802C82"/>
    <w:rsid w:val="72987FCC"/>
    <w:rsid w:val="729C3F60"/>
    <w:rsid w:val="72C708B1"/>
    <w:rsid w:val="72CB03A1"/>
    <w:rsid w:val="72DF209E"/>
    <w:rsid w:val="72E254FD"/>
    <w:rsid w:val="72E476B5"/>
    <w:rsid w:val="730F5DCE"/>
    <w:rsid w:val="73797DFD"/>
    <w:rsid w:val="739E015D"/>
    <w:rsid w:val="73C434F7"/>
    <w:rsid w:val="73DA394F"/>
    <w:rsid w:val="73F43927"/>
    <w:rsid w:val="74021368"/>
    <w:rsid w:val="746F3611"/>
    <w:rsid w:val="749B1FF5"/>
    <w:rsid w:val="752D5343"/>
    <w:rsid w:val="75AB6268"/>
    <w:rsid w:val="766C1E9B"/>
    <w:rsid w:val="766C3C49"/>
    <w:rsid w:val="7679318F"/>
    <w:rsid w:val="76956082"/>
    <w:rsid w:val="76C07AF1"/>
    <w:rsid w:val="7718641E"/>
    <w:rsid w:val="771F2A69"/>
    <w:rsid w:val="77383B2B"/>
    <w:rsid w:val="77660698"/>
    <w:rsid w:val="77756B2D"/>
    <w:rsid w:val="77764653"/>
    <w:rsid w:val="777A4144"/>
    <w:rsid w:val="779969FD"/>
    <w:rsid w:val="77DC4DFE"/>
    <w:rsid w:val="78362761"/>
    <w:rsid w:val="783E7867"/>
    <w:rsid w:val="785535D1"/>
    <w:rsid w:val="785B3F75"/>
    <w:rsid w:val="78872FBC"/>
    <w:rsid w:val="78915BE9"/>
    <w:rsid w:val="78AD0549"/>
    <w:rsid w:val="78C733B9"/>
    <w:rsid w:val="78E73A5B"/>
    <w:rsid w:val="78F86174"/>
    <w:rsid w:val="792C3B64"/>
    <w:rsid w:val="79627585"/>
    <w:rsid w:val="798E3ED6"/>
    <w:rsid w:val="799F7E92"/>
    <w:rsid w:val="79AC1766"/>
    <w:rsid w:val="79D55FA9"/>
    <w:rsid w:val="79FE105C"/>
    <w:rsid w:val="7A0423EA"/>
    <w:rsid w:val="7A3F3423"/>
    <w:rsid w:val="7A792DD8"/>
    <w:rsid w:val="7AB4796D"/>
    <w:rsid w:val="7ABD5BC0"/>
    <w:rsid w:val="7AC5601E"/>
    <w:rsid w:val="7B580C40"/>
    <w:rsid w:val="7B5F1FCE"/>
    <w:rsid w:val="7B641393"/>
    <w:rsid w:val="7B8626B2"/>
    <w:rsid w:val="7B8E6410"/>
    <w:rsid w:val="7B9D6653"/>
    <w:rsid w:val="7BAE0860"/>
    <w:rsid w:val="7BE67FFA"/>
    <w:rsid w:val="7BF30969"/>
    <w:rsid w:val="7C042B76"/>
    <w:rsid w:val="7C1A4147"/>
    <w:rsid w:val="7C5F1B5A"/>
    <w:rsid w:val="7C6C22B7"/>
    <w:rsid w:val="7C8B294F"/>
    <w:rsid w:val="7C9712F4"/>
    <w:rsid w:val="7CC52305"/>
    <w:rsid w:val="7CDD764F"/>
    <w:rsid w:val="7CF60F14"/>
    <w:rsid w:val="7CFB1883"/>
    <w:rsid w:val="7D6E02A7"/>
    <w:rsid w:val="7D845D1C"/>
    <w:rsid w:val="7D9F2B56"/>
    <w:rsid w:val="7DBF6D54"/>
    <w:rsid w:val="7DF764EE"/>
    <w:rsid w:val="7DFA3D98"/>
    <w:rsid w:val="7E097FCF"/>
    <w:rsid w:val="7E3A63DB"/>
    <w:rsid w:val="7E413C0D"/>
    <w:rsid w:val="7E462FD2"/>
    <w:rsid w:val="7ECF746B"/>
    <w:rsid w:val="7EE84089"/>
    <w:rsid w:val="7F210F90"/>
    <w:rsid w:val="7F5E434B"/>
    <w:rsid w:val="7F6C31F6"/>
    <w:rsid w:val="7F761695"/>
    <w:rsid w:val="7F791185"/>
    <w:rsid w:val="7FA21157"/>
    <w:rsid w:val="7FA51F7A"/>
    <w:rsid w:val="7FB421BD"/>
    <w:rsid w:val="7FC22B2C"/>
    <w:rsid w:val="7FCF68F2"/>
    <w:rsid w:val="7FD30895"/>
    <w:rsid w:val="7FD32F38"/>
    <w:rsid w:val="7FE4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qFormat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next w:val="3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font21"/>
    <w:basedOn w:val="8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3202</Words>
  <Characters>3434</Characters>
  <Paragraphs>135</Paragraphs>
  <TotalTime>5</TotalTime>
  <ScaleCrop>false</ScaleCrop>
  <LinksUpToDate>false</LinksUpToDate>
  <CharactersWithSpaces>3463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2024-05-31T11:21:00Z</dcterms:created>
  <dc:creator>w'y'n</dc:creator>
  <cp:lastModifiedBy>陈畅</cp:lastModifiedBy>
  <cp:lastPrinted>2024-07-01T08:14:00Z</cp:lastPrinted>
  <dcterms:modified xsi:type="dcterms:W3CDTF">2024-07-02T07:34:04Z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AF2D4D1667EA4C289E72F169F6B3DFF8</vt:lpwstr>
  </property>
</Properties>
</file>